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FA" w:rsidRPr="006D17EA" w:rsidRDefault="00081B07" w:rsidP="003B71FA">
      <w:pPr>
        <w:spacing w:line="262" w:lineRule="auto"/>
        <w:jc w:val="center"/>
        <w:rPr>
          <w:rFonts w:ascii="Tw Cen MT" w:hAnsi="Tw Cen MT"/>
          <w:b/>
          <w:color w:val="0070C0"/>
          <w:sz w:val="32"/>
          <w:szCs w:val="32"/>
        </w:rPr>
      </w:pPr>
      <w:r w:rsidRPr="006D17EA">
        <w:rPr>
          <w:rFonts w:ascii="Tw Cen MT" w:hAnsi="Tw Cen MT"/>
          <w:b/>
          <w:noProof/>
          <w:color w:val="0070C0"/>
          <w:sz w:val="32"/>
          <w:szCs w:val="32"/>
        </w:rPr>
        <w:drawing>
          <wp:anchor distT="0" distB="0" distL="114300" distR="114300" simplePos="0" relativeHeight="251660288" behindDoc="0" locked="0" layoutInCell="1" allowOverlap="1">
            <wp:simplePos x="0" y="0"/>
            <wp:positionH relativeFrom="margin">
              <wp:posOffset>19050</wp:posOffset>
            </wp:positionH>
            <wp:positionV relativeFrom="paragraph">
              <wp:posOffset>-127635</wp:posOffset>
            </wp:positionV>
            <wp:extent cx="1002030" cy="10058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_rose.gif"/>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2030" cy="1005840"/>
                    </a:xfrm>
                    <a:prstGeom prst="rect">
                      <a:avLst/>
                    </a:prstGeom>
                  </pic:spPr>
                </pic:pic>
              </a:graphicData>
            </a:graphic>
          </wp:anchor>
        </w:drawing>
      </w:r>
      <w:r w:rsidR="00387178" w:rsidRPr="006D17EA">
        <w:rPr>
          <w:rFonts w:ascii="Tw Cen MT" w:hAnsi="Tw Cen MT"/>
          <w:b/>
          <w:color w:val="0070C0"/>
          <w:sz w:val="32"/>
          <w:szCs w:val="32"/>
        </w:rPr>
        <w:t xml:space="preserve">Navigating Across Care Settings: </w:t>
      </w:r>
    </w:p>
    <w:p w:rsidR="003B71FA" w:rsidRPr="006D17EA" w:rsidRDefault="00387178" w:rsidP="003B71FA">
      <w:pPr>
        <w:spacing w:line="262" w:lineRule="auto"/>
        <w:jc w:val="center"/>
        <w:rPr>
          <w:rFonts w:ascii="Tw Cen MT" w:hAnsi="Tw Cen MT"/>
          <w:b/>
          <w:color w:val="0070C0"/>
          <w:sz w:val="32"/>
          <w:szCs w:val="32"/>
        </w:rPr>
      </w:pPr>
      <w:r w:rsidRPr="006D17EA">
        <w:rPr>
          <w:rFonts w:ascii="Tw Cen MT" w:hAnsi="Tw Cen MT"/>
          <w:b/>
          <w:color w:val="0070C0"/>
          <w:sz w:val="32"/>
          <w:szCs w:val="32"/>
        </w:rPr>
        <w:t xml:space="preserve">Choices for Successful Transitions </w:t>
      </w:r>
    </w:p>
    <w:p w:rsidR="003B71FA" w:rsidRPr="006D17EA" w:rsidRDefault="00387178" w:rsidP="003B71FA">
      <w:pPr>
        <w:spacing w:line="262" w:lineRule="auto"/>
        <w:jc w:val="center"/>
        <w:rPr>
          <w:rFonts w:ascii="Tw Cen MT" w:hAnsi="Tw Cen MT"/>
          <w:b/>
          <w:color w:val="0070C0"/>
        </w:rPr>
      </w:pPr>
      <w:r w:rsidRPr="006D17EA">
        <w:rPr>
          <w:rFonts w:ascii="Tw Cen MT" w:hAnsi="Tw Cen MT"/>
          <w:b/>
          <w:color w:val="0070C0"/>
          <w:sz w:val="32"/>
          <w:szCs w:val="32"/>
        </w:rPr>
        <w:t>(NACS)</w:t>
      </w:r>
    </w:p>
    <w:p w:rsidR="00387178" w:rsidRPr="00387178" w:rsidRDefault="003B71FA" w:rsidP="00E240E1">
      <w:pPr>
        <w:spacing w:line="262" w:lineRule="auto"/>
        <w:rPr>
          <w:rFonts w:ascii="Tw Cen MT" w:hAnsi="Tw Cen MT"/>
        </w:rPr>
      </w:pPr>
      <w:r>
        <w:rPr>
          <w:rFonts w:ascii="Tw Cen MT" w:hAnsi="Tw Cen MT"/>
        </w:rPr>
        <w:t>NACS</w:t>
      </w:r>
      <w:r w:rsidR="006960BB">
        <w:rPr>
          <w:rStyle w:val="FootnoteReference"/>
          <w:rFonts w:ascii="Tw Cen MT" w:hAnsi="Tw Cen MT"/>
        </w:rPr>
        <w:footnoteReference w:id="1"/>
      </w:r>
      <w:r>
        <w:rPr>
          <w:rFonts w:ascii="Tw Cen MT" w:hAnsi="Tw Cen MT"/>
        </w:rPr>
        <w:t xml:space="preserve"> </w:t>
      </w:r>
      <w:r w:rsidR="00387178" w:rsidRPr="00387178">
        <w:rPr>
          <w:rFonts w:ascii="Tw Cen MT" w:hAnsi="Tw Cen MT"/>
        </w:rPr>
        <w:t xml:space="preserve">is the Commonwealth’s pilot care transitions project funded by the Administration </w:t>
      </w:r>
      <w:r w:rsidR="007E0EFE">
        <w:rPr>
          <w:rFonts w:ascii="Tw Cen MT" w:hAnsi="Tw Cen MT"/>
        </w:rPr>
        <w:t>o</w:t>
      </w:r>
      <w:r w:rsidR="00387178" w:rsidRPr="00387178">
        <w:rPr>
          <w:rFonts w:ascii="Tw Cen MT" w:hAnsi="Tw Cen MT"/>
        </w:rPr>
        <w:t>n Aging and implemented through the ADRC of the Greater North Shore</w:t>
      </w:r>
      <w:r w:rsidR="003E5CED">
        <w:rPr>
          <w:rFonts w:ascii="Tw Cen MT" w:hAnsi="Tw Cen MT"/>
        </w:rPr>
        <w:t xml:space="preserve"> </w:t>
      </w:r>
      <w:r w:rsidR="003F0940">
        <w:rPr>
          <w:rFonts w:ascii="Tw Cen MT" w:hAnsi="Tw Cen MT"/>
        </w:rPr>
        <w:t>(ADRCGNS)</w:t>
      </w:r>
      <w:r w:rsidR="00387178" w:rsidRPr="00387178">
        <w:rPr>
          <w:rFonts w:ascii="Tw Cen MT" w:hAnsi="Tw Cen MT"/>
        </w:rPr>
        <w:t xml:space="preserve">. The aim of this two-year project is to </w:t>
      </w:r>
      <w:r w:rsidR="00387178">
        <w:rPr>
          <w:rFonts w:ascii="Tw Cen MT" w:hAnsi="Tw Cen MT"/>
        </w:rPr>
        <w:t>effectively</w:t>
      </w:r>
      <w:r w:rsidR="00387178" w:rsidRPr="00387178">
        <w:rPr>
          <w:rFonts w:ascii="Tw Cen MT" w:hAnsi="Tw Cen MT"/>
        </w:rPr>
        <w:t xml:space="preserve"> promote health</w:t>
      </w:r>
      <w:r w:rsidR="00387178">
        <w:rPr>
          <w:rFonts w:ascii="Tw Cen MT" w:hAnsi="Tw Cen MT"/>
        </w:rPr>
        <w:t xml:space="preserve"> in general</w:t>
      </w:r>
      <w:r w:rsidR="00387178" w:rsidRPr="00387178">
        <w:rPr>
          <w:rFonts w:ascii="Tw Cen MT" w:hAnsi="Tw Cen MT"/>
        </w:rPr>
        <w:t xml:space="preserve"> and </w:t>
      </w:r>
      <w:r w:rsidR="00136187">
        <w:rPr>
          <w:rFonts w:ascii="Tw Cen MT" w:hAnsi="Tw Cen MT"/>
        </w:rPr>
        <w:t xml:space="preserve">foster </w:t>
      </w:r>
      <w:r w:rsidR="00387178" w:rsidRPr="00387178">
        <w:rPr>
          <w:rFonts w:ascii="Tw Cen MT" w:hAnsi="Tw Cen MT"/>
        </w:rPr>
        <w:t xml:space="preserve">successful care transitions between hospital and community </w:t>
      </w:r>
      <w:r w:rsidR="00387178">
        <w:rPr>
          <w:rFonts w:ascii="Tw Cen MT" w:hAnsi="Tw Cen MT"/>
        </w:rPr>
        <w:t xml:space="preserve">in particular </w:t>
      </w:r>
      <w:r w:rsidR="00387178" w:rsidRPr="00387178">
        <w:rPr>
          <w:rFonts w:ascii="Tw Cen MT" w:hAnsi="Tw Cen MT"/>
        </w:rPr>
        <w:t>by</w:t>
      </w:r>
      <w:r w:rsidR="00136187">
        <w:rPr>
          <w:rFonts w:ascii="Tw Cen MT" w:hAnsi="Tw Cen MT"/>
        </w:rPr>
        <w:t>:</w:t>
      </w:r>
      <w:r w:rsidR="00387178" w:rsidRPr="00387178">
        <w:rPr>
          <w:rFonts w:ascii="Tw Cen MT" w:hAnsi="Tw Cen MT"/>
        </w:rPr>
        <w:t xml:space="preserve"> 1) strengthening communications around consumer health issues across healthcare settings, 2) fostering consumer health self-management, 3) increasing awareness among professionals about care transitions 4) reducing consumer and caregiver stress and 5) reducing hospital readmissions, preventable hospitalizations and premature nursing  facility placements.</w:t>
      </w:r>
    </w:p>
    <w:p w:rsidR="00387178" w:rsidRDefault="00387178" w:rsidP="00E240E1">
      <w:pPr>
        <w:spacing w:line="262" w:lineRule="auto"/>
      </w:pPr>
    </w:p>
    <w:p w:rsidR="00401768" w:rsidRDefault="003F0940" w:rsidP="00E240E1">
      <w:pPr>
        <w:tabs>
          <w:tab w:val="left" w:pos="0"/>
        </w:tabs>
        <w:spacing w:line="262" w:lineRule="auto"/>
        <w:rPr>
          <w:rFonts w:ascii="Tw Cen MT" w:hAnsi="Tw Cen MT"/>
        </w:rPr>
      </w:pPr>
      <w:r>
        <w:rPr>
          <w:rFonts w:ascii="Tw Cen MT" w:hAnsi="Tw Cen MT"/>
        </w:rPr>
        <w:t>NACS</w:t>
      </w:r>
      <w:r w:rsidR="00387178" w:rsidRPr="003F0940">
        <w:rPr>
          <w:rFonts w:ascii="Tw Cen MT" w:hAnsi="Tw Cen MT"/>
        </w:rPr>
        <w:t xml:space="preserve"> builds on current </w:t>
      </w:r>
      <w:r>
        <w:rPr>
          <w:rFonts w:ascii="Tw Cen MT" w:hAnsi="Tw Cen MT"/>
        </w:rPr>
        <w:t xml:space="preserve">ADRCGNS </w:t>
      </w:r>
      <w:r w:rsidR="00387178" w:rsidRPr="003F0940">
        <w:rPr>
          <w:rFonts w:ascii="Tw Cen MT" w:hAnsi="Tw Cen MT"/>
        </w:rPr>
        <w:t xml:space="preserve">efforts to incorporate an emphasis on health literacy and self-determination within the evidence-based </w:t>
      </w:r>
      <w:r>
        <w:rPr>
          <w:rFonts w:ascii="Tw Cen MT" w:hAnsi="Tw Cen MT"/>
        </w:rPr>
        <w:t>Care Transitions Intervention (CTI) model developed by Dr. Eric Coleman</w:t>
      </w:r>
      <w:r w:rsidR="00387178" w:rsidRPr="003F0940">
        <w:rPr>
          <w:rFonts w:ascii="Tw Cen MT" w:hAnsi="Tw Cen MT"/>
        </w:rPr>
        <w:t xml:space="preserve"> in order to create a higher impact care transitions </w:t>
      </w:r>
      <w:r w:rsidRPr="003F0940">
        <w:rPr>
          <w:rFonts w:ascii="Tw Cen MT" w:hAnsi="Tw Cen MT"/>
        </w:rPr>
        <w:t>capacity</w:t>
      </w:r>
      <w:r w:rsidR="00387178" w:rsidRPr="003F0940">
        <w:rPr>
          <w:rFonts w:ascii="Tw Cen MT" w:hAnsi="Tw Cen MT"/>
        </w:rPr>
        <w:t xml:space="preserve">. </w:t>
      </w:r>
      <w:r w:rsidR="00401768">
        <w:rPr>
          <w:rFonts w:ascii="Tw Cen MT" w:hAnsi="Tw Cen MT"/>
        </w:rPr>
        <w:t xml:space="preserve">In addition to the core coaching component and the “four pillars” </w:t>
      </w:r>
      <w:r w:rsidR="007B16FE">
        <w:rPr>
          <w:rFonts w:ascii="Tw Cen MT" w:hAnsi="Tw Cen MT"/>
        </w:rPr>
        <w:t>supports it delivers</w:t>
      </w:r>
      <w:r w:rsidR="00401768">
        <w:rPr>
          <w:rFonts w:ascii="Tw Cen MT" w:hAnsi="Tw Cen MT"/>
        </w:rPr>
        <w:t xml:space="preserve">, NACS consumers </w:t>
      </w:r>
      <w:r w:rsidR="007B16FE">
        <w:rPr>
          <w:rFonts w:ascii="Tw Cen MT" w:hAnsi="Tw Cen MT"/>
        </w:rPr>
        <w:t>can connect --</w:t>
      </w:r>
      <w:r w:rsidR="00401768">
        <w:rPr>
          <w:rFonts w:ascii="Tw Cen MT" w:hAnsi="Tw Cen MT"/>
        </w:rPr>
        <w:t xml:space="preserve"> </w:t>
      </w:r>
      <w:r w:rsidR="007B16FE" w:rsidRPr="003F0940">
        <w:rPr>
          <w:rFonts w:ascii="Tw Cen MT" w:hAnsi="Tw Cen MT"/>
        </w:rPr>
        <w:t>in concert with the</w:t>
      </w:r>
      <w:r w:rsidR="007B16FE">
        <w:rPr>
          <w:rFonts w:ascii="Tw Cen MT" w:hAnsi="Tw Cen MT"/>
        </w:rPr>
        <w:t>ir</w:t>
      </w:r>
      <w:r w:rsidR="007B16FE" w:rsidRPr="003F0940">
        <w:rPr>
          <w:rFonts w:ascii="Tw Cen MT" w:hAnsi="Tw Cen MT"/>
        </w:rPr>
        <w:t xml:space="preserve"> desires and needs </w:t>
      </w:r>
      <w:r w:rsidR="007B16FE">
        <w:rPr>
          <w:rFonts w:ascii="Tw Cen MT" w:hAnsi="Tw Cen MT"/>
        </w:rPr>
        <w:t xml:space="preserve">-- </w:t>
      </w:r>
      <w:r w:rsidR="00401768">
        <w:rPr>
          <w:rFonts w:ascii="Tw Cen MT" w:hAnsi="Tw Cen MT"/>
        </w:rPr>
        <w:t>with “Plus” options to further strengthen the</w:t>
      </w:r>
      <w:r w:rsidR="007B16FE">
        <w:rPr>
          <w:rFonts w:ascii="Tw Cen MT" w:hAnsi="Tw Cen MT"/>
        </w:rPr>
        <w:t>ir</w:t>
      </w:r>
      <w:r w:rsidR="00401768">
        <w:rPr>
          <w:rFonts w:ascii="Tw Cen MT" w:hAnsi="Tw Cen MT"/>
        </w:rPr>
        <w:t xml:space="preserve"> transition</w:t>
      </w:r>
      <w:r w:rsidR="007B16FE">
        <w:rPr>
          <w:rFonts w:ascii="Tw Cen MT" w:hAnsi="Tw Cen MT"/>
        </w:rPr>
        <w:t>s and improve overall engagement in their health self-management</w:t>
      </w:r>
      <w:r w:rsidR="00401768">
        <w:rPr>
          <w:rFonts w:ascii="Tw Cen MT" w:hAnsi="Tw Cen MT"/>
        </w:rPr>
        <w:t>.  The “Plus” options include:  Options Counseling; My Life/My Health; A Matter of Balance; other Healthy Aging programs; At Your Side</w:t>
      </w:r>
      <w:r w:rsidR="00090D8A">
        <w:rPr>
          <w:rFonts w:ascii="Tw Cen MT" w:hAnsi="Tw Cen MT"/>
        </w:rPr>
        <w:t xml:space="preserve"> Medical Advocacy</w:t>
      </w:r>
      <w:r w:rsidR="00401768">
        <w:rPr>
          <w:rFonts w:ascii="Tw Cen MT" w:hAnsi="Tw Cen MT"/>
        </w:rPr>
        <w:t xml:space="preserve">; Peer Guide Supports; and Savvy Caregiver.  Going forward, opportunities to </w:t>
      </w:r>
      <w:r w:rsidR="0050754A">
        <w:rPr>
          <w:rFonts w:ascii="Tw Cen MT" w:hAnsi="Tw Cen MT"/>
        </w:rPr>
        <w:t xml:space="preserve">develop and implement </w:t>
      </w:r>
      <w:r w:rsidR="00401768">
        <w:rPr>
          <w:rFonts w:ascii="Tw Cen MT" w:hAnsi="Tw Cen MT"/>
        </w:rPr>
        <w:t>virtual coaching capacities will be integrated into the “Plus” options.</w:t>
      </w:r>
    </w:p>
    <w:p w:rsidR="007B16FE" w:rsidRPr="007B16FE" w:rsidRDefault="007B16FE" w:rsidP="00E240E1">
      <w:pPr>
        <w:tabs>
          <w:tab w:val="left" w:pos="0"/>
        </w:tabs>
        <w:spacing w:line="262" w:lineRule="auto"/>
        <w:rPr>
          <w:rFonts w:ascii="Tw Cen MT" w:hAnsi="Tw Cen MT"/>
        </w:rPr>
      </w:pPr>
    </w:p>
    <w:p w:rsidR="00401768" w:rsidRPr="007B16FE" w:rsidRDefault="003F0940" w:rsidP="00E240E1">
      <w:pPr>
        <w:tabs>
          <w:tab w:val="left" w:pos="0"/>
        </w:tabs>
        <w:spacing w:line="262" w:lineRule="auto"/>
        <w:rPr>
          <w:rFonts w:ascii="Tw Cen MT" w:hAnsi="Tw Cen MT"/>
        </w:rPr>
      </w:pPr>
      <w:r w:rsidRPr="007B16FE">
        <w:rPr>
          <w:rFonts w:ascii="Tw Cen MT" w:hAnsi="Tw Cen MT"/>
        </w:rPr>
        <w:t>D</w:t>
      </w:r>
      <w:r w:rsidR="00387178" w:rsidRPr="007B16FE">
        <w:rPr>
          <w:rFonts w:ascii="Tw Cen MT" w:hAnsi="Tw Cen MT"/>
        </w:rPr>
        <w:t xml:space="preserve">esigned as a multi-dimensional program offering </w:t>
      </w:r>
      <w:r w:rsidR="00401768" w:rsidRPr="007B16FE">
        <w:rPr>
          <w:rFonts w:ascii="Tw Cen MT" w:hAnsi="Tw Cen MT"/>
        </w:rPr>
        <w:t>sustained</w:t>
      </w:r>
      <w:r w:rsidR="00387178" w:rsidRPr="007B16FE">
        <w:rPr>
          <w:rFonts w:ascii="Tw Cen MT" w:hAnsi="Tw Cen MT"/>
        </w:rPr>
        <w:t xml:space="preserve"> opportunities for education and support </w:t>
      </w:r>
      <w:r w:rsidR="00401768" w:rsidRPr="007B16FE">
        <w:rPr>
          <w:rFonts w:ascii="Tw Cen MT" w:hAnsi="Tw Cen MT"/>
        </w:rPr>
        <w:t xml:space="preserve">beyond the “standard” 30 day coaching component, the project seeks </w:t>
      </w:r>
      <w:r w:rsidRPr="007B16FE">
        <w:rPr>
          <w:rFonts w:ascii="Tw Cen MT" w:hAnsi="Tw Cen MT"/>
        </w:rPr>
        <w:t xml:space="preserve">to deliver enhanced health self-management </w:t>
      </w:r>
      <w:r w:rsidR="00401768" w:rsidRPr="007B16FE">
        <w:rPr>
          <w:rFonts w:ascii="Tw Cen MT" w:hAnsi="Tw Cen MT"/>
        </w:rPr>
        <w:t xml:space="preserve">and engagement </w:t>
      </w:r>
      <w:r w:rsidRPr="007B16FE">
        <w:rPr>
          <w:rFonts w:ascii="Tw Cen MT" w:hAnsi="Tw Cen MT"/>
        </w:rPr>
        <w:t>supports to 300 consumers who are a) adults with disabilities or over age 60; and b) hospitalized with a diagnosis of COPD, CHF or diabetes in either Beverly Hospital or Addison Gilbert Hospital.</w:t>
      </w:r>
      <w:r w:rsidR="00387178" w:rsidRPr="007B16FE">
        <w:rPr>
          <w:rFonts w:ascii="Tw Cen MT" w:hAnsi="Tw Cen MT"/>
        </w:rPr>
        <w:t xml:space="preserve"> </w:t>
      </w:r>
      <w:r w:rsidR="00401768" w:rsidRPr="007B16FE">
        <w:rPr>
          <w:rFonts w:ascii="Tw Cen MT" w:hAnsi="Tw Cen MT"/>
        </w:rPr>
        <w:t xml:space="preserve"> </w:t>
      </w:r>
      <w:r w:rsidR="007B16FE" w:rsidRPr="007B16FE">
        <w:rPr>
          <w:rFonts w:ascii="Tw Cen MT" w:hAnsi="Tw Cen MT"/>
        </w:rPr>
        <w:t xml:space="preserve">Key partners within the ADRCGNS for this </w:t>
      </w:r>
      <w:r w:rsidR="007E0EFE">
        <w:rPr>
          <w:rFonts w:ascii="Tw Cen MT" w:hAnsi="Tw Cen MT"/>
        </w:rPr>
        <w:t>pilot</w:t>
      </w:r>
      <w:r w:rsidR="007B16FE" w:rsidRPr="007B16FE">
        <w:rPr>
          <w:rFonts w:ascii="Tw Cen MT" w:hAnsi="Tw Cen MT"/>
        </w:rPr>
        <w:t xml:space="preserve"> initiative include:  </w:t>
      </w:r>
    </w:p>
    <w:p w:rsidR="007B16FE" w:rsidRPr="00E240E1" w:rsidRDefault="00E240E1" w:rsidP="00E240E1">
      <w:pPr>
        <w:pStyle w:val="ListParagraph"/>
        <w:numPr>
          <w:ilvl w:val="0"/>
          <w:numId w:val="4"/>
        </w:numPr>
        <w:tabs>
          <w:tab w:val="left" w:pos="0"/>
        </w:tabs>
        <w:spacing w:after="0" w:line="240" w:lineRule="auto"/>
        <w:rPr>
          <w:rFonts w:ascii="Tw Cen MT" w:hAnsi="Tw Cen MT"/>
          <w:sz w:val="24"/>
          <w:szCs w:val="24"/>
        </w:rPr>
      </w:pPr>
      <w:r w:rsidRPr="00E240E1">
        <w:rPr>
          <w:rFonts w:ascii="Tw Cen MT" w:hAnsi="Tw Cen MT"/>
          <w:sz w:val="24"/>
          <w:szCs w:val="24"/>
        </w:rPr>
        <w:t xml:space="preserve">Greater Lynn Senior Services, </w:t>
      </w:r>
      <w:r w:rsidR="007B16FE" w:rsidRPr="00E240E1">
        <w:rPr>
          <w:rFonts w:ascii="Tw Cen MT" w:hAnsi="Tw Cen MT"/>
          <w:sz w:val="24"/>
          <w:szCs w:val="24"/>
        </w:rPr>
        <w:t>North Shore Elder Services</w:t>
      </w:r>
      <w:r w:rsidRPr="00E240E1">
        <w:rPr>
          <w:rFonts w:ascii="Tw Cen MT" w:hAnsi="Tw Cen MT"/>
          <w:sz w:val="24"/>
          <w:szCs w:val="24"/>
        </w:rPr>
        <w:t>,</w:t>
      </w:r>
      <w:r>
        <w:rPr>
          <w:rFonts w:ascii="Tw Cen MT" w:hAnsi="Tw Cen MT"/>
          <w:sz w:val="24"/>
          <w:szCs w:val="24"/>
        </w:rPr>
        <w:t xml:space="preserve"> </w:t>
      </w:r>
      <w:r w:rsidR="007B16FE" w:rsidRPr="00E240E1">
        <w:rPr>
          <w:rFonts w:ascii="Tw Cen MT" w:hAnsi="Tw Cen MT"/>
          <w:sz w:val="24"/>
          <w:szCs w:val="24"/>
        </w:rPr>
        <w:t>Senior Care</w:t>
      </w:r>
      <w:r>
        <w:rPr>
          <w:rFonts w:ascii="Tw Cen MT" w:hAnsi="Tw Cen MT"/>
          <w:sz w:val="24"/>
          <w:szCs w:val="24"/>
        </w:rPr>
        <w:t xml:space="preserve"> (ASAPs)</w:t>
      </w:r>
    </w:p>
    <w:p w:rsidR="007B16FE" w:rsidRPr="007B16FE" w:rsidRDefault="003B71FA" w:rsidP="00E240E1">
      <w:pPr>
        <w:pStyle w:val="ListParagraph"/>
        <w:numPr>
          <w:ilvl w:val="0"/>
          <w:numId w:val="4"/>
        </w:numPr>
        <w:tabs>
          <w:tab w:val="left" w:pos="0"/>
        </w:tabs>
        <w:spacing w:after="0" w:line="240" w:lineRule="auto"/>
        <w:rPr>
          <w:rFonts w:ascii="Tw Cen MT" w:hAnsi="Tw Cen MT"/>
          <w:sz w:val="24"/>
          <w:szCs w:val="24"/>
        </w:rPr>
      </w:pPr>
      <w:r>
        <w:rPr>
          <w:rFonts w:ascii="Tw Cen MT" w:hAnsi="Tw Cen MT"/>
          <w:sz w:val="24"/>
          <w:szCs w:val="24"/>
        </w:rPr>
        <w:t xml:space="preserve">The </w:t>
      </w:r>
      <w:r w:rsidR="007B16FE" w:rsidRPr="007B16FE">
        <w:rPr>
          <w:rFonts w:ascii="Tw Cen MT" w:hAnsi="Tw Cen MT"/>
          <w:sz w:val="24"/>
          <w:szCs w:val="24"/>
        </w:rPr>
        <w:t>Independent Living Center of the North Shore and Cape Ann</w:t>
      </w:r>
      <w:r w:rsidR="00E240E1">
        <w:rPr>
          <w:rFonts w:ascii="Tw Cen MT" w:hAnsi="Tw Cen MT"/>
          <w:sz w:val="24"/>
          <w:szCs w:val="24"/>
        </w:rPr>
        <w:t xml:space="preserve"> (ILC)</w:t>
      </w:r>
    </w:p>
    <w:p w:rsidR="003B71FA" w:rsidRPr="0010774B" w:rsidRDefault="007B16FE" w:rsidP="003B71FA">
      <w:pPr>
        <w:pStyle w:val="ListParagraph"/>
        <w:numPr>
          <w:ilvl w:val="0"/>
          <w:numId w:val="4"/>
        </w:numPr>
        <w:tabs>
          <w:tab w:val="left" w:pos="0"/>
        </w:tabs>
        <w:spacing w:after="0" w:line="240" w:lineRule="auto"/>
        <w:rPr>
          <w:rFonts w:ascii="Tw Cen MT" w:hAnsi="Tw Cen MT"/>
        </w:rPr>
      </w:pPr>
      <w:r w:rsidRPr="0010774B">
        <w:rPr>
          <w:rFonts w:ascii="Tw Cen MT" w:hAnsi="Tw Cen MT"/>
          <w:sz w:val="24"/>
          <w:szCs w:val="24"/>
        </w:rPr>
        <w:t>Northeast Health Systems</w:t>
      </w:r>
      <w:r w:rsidR="00E240E1" w:rsidRPr="0010774B">
        <w:rPr>
          <w:rFonts w:ascii="Tw Cen MT" w:hAnsi="Tw Cen MT"/>
          <w:sz w:val="24"/>
          <w:szCs w:val="24"/>
        </w:rPr>
        <w:t xml:space="preserve"> and </w:t>
      </w:r>
      <w:r w:rsidRPr="0010774B">
        <w:rPr>
          <w:rFonts w:ascii="Tw Cen MT" w:hAnsi="Tw Cen MT"/>
          <w:sz w:val="24"/>
          <w:szCs w:val="24"/>
        </w:rPr>
        <w:t>The Medical Group</w:t>
      </w:r>
      <w:r w:rsidR="00E240E1">
        <w:rPr>
          <w:rStyle w:val="EndnoteReference"/>
          <w:rFonts w:ascii="Tw Cen MT" w:hAnsi="Tw Cen MT"/>
          <w:sz w:val="24"/>
          <w:szCs w:val="24"/>
        </w:rPr>
        <w:endnoteReference w:id="1"/>
      </w:r>
      <w:r w:rsidRPr="0010774B">
        <w:rPr>
          <w:rFonts w:ascii="Tw Cen MT" w:hAnsi="Tw Cen MT"/>
          <w:sz w:val="24"/>
          <w:szCs w:val="24"/>
        </w:rPr>
        <w:t xml:space="preserve"> </w:t>
      </w:r>
      <w:r w:rsidR="00E240E1" w:rsidRPr="0010774B">
        <w:rPr>
          <w:rFonts w:ascii="Tw Cen MT" w:hAnsi="Tw Cen MT"/>
          <w:sz w:val="24"/>
          <w:szCs w:val="24"/>
        </w:rPr>
        <w:t>(medical partners)</w:t>
      </w:r>
    </w:p>
    <w:tbl>
      <w:tblPr>
        <w:tblpPr w:leftFromText="187" w:rightFromText="187" w:vertAnchor="text" w:horzAnchor="margin" w:tblpXSpec="center" w:tblpY="48"/>
        <w:tblW w:w="10458" w:type="dxa"/>
        <w:tblBorders>
          <w:top w:val="single" w:sz="12" w:space="0" w:color="000000"/>
          <w:left w:val="single" w:sz="12" w:space="0" w:color="000000"/>
          <w:bottom w:val="single" w:sz="12" w:space="0" w:color="000000"/>
          <w:right w:val="single" w:sz="12" w:space="0" w:color="000000"/>
        </w:tblBorders>
        <w:tblLook w:val="04A0"/>
      </w:tblPr>
      <w:tblGrid>
        <w:gridCol w:w="4338"/>
        <w:gridCol w:w="3510"/>
        <w:gridCol w:w="2610"/>
      </w:tblGrid>
      <w:tr w:rsidR="003B71FA" w:rsidRPr="007F4875" w:rsidTr="003B71FA">
        <w:trPr>
          <w:trHeight w:val="20"/>
        </w:trPr>
        <w:tc>
          <w:tcPr>
            <w:tcW w:w="4338" w:type="dxa"/>
            <w:tcBorders>
              <w:bottom w:val="single" w:sz="6" w:space="0" w:color="000000"/>
            </w:tcBorders>
            <w:shd w:val="solid" w:color="000080" w:fill="FFFFFF"/>
            <w:noWrap/>
            <w:vAlign w:val="center"/>
            <w:hideMark/>
          </w:tcPr>
          <w:p w:rsidR="003B71FA" w:rsidRPr="00F97463" w:rsidRDefault="003B71FA" w:rsidP="003B71FA">
            <w:pPr>
              <w:tabs>
                <w:tab w:val="center" w:pos="4320"/>
                <w:tab w:val="right" w:pos="8640"/>
              </w:tabs>
              <w:rPr>
                <w:rFonts w:ascii="Calibri" w:hAnsi="Calibri" w:cs="Calibri"/>
                <w:b/>
                <w:bCs/>
                <w:i/>
                <w:iCs/>
                <w:color w:val="000000"/>
                <w:sz w:val="18"/>
                <w:szCs w:val="18"/>
              </w:rPr>
            </w:pPr>
          </w:p>
        </w:tc>
        <w:tc>
          <w:tcPr>
            <w:tcW w:w="3510" w:type="dxa"/>
            <w:tcBorders>
              <w:bottom w:val="single" w:sz="6" w:space="0" w:color="000000"/>
            </w:tcBorders>
            <w:shd w:val="solid" w:color="000080" w:fill="FFFFFF"/>
            <w:vAlign w:val="center"/>
            <w:hideMark/>
          </w:tcPr>
          <w:p w:rsidR="003B71FA" w:rsidRPr="00F97463" w:rsidRDefault="003B71FA" w:rsidP="003B71FA">
            <w:pPr>
              <w:tabs>
                <w:tab w:val="center" w:pos="4320"/>
                <w:tab w:val="right" w:pos="8640"/>
              </w:tabs>
              <w:rPr>
                <w:rFonts w:ascii="Calibri" w:hAnsi="Calibri" w:cs="Calibri"/>
                <w:b/>
                <w:bCs/>
                <w:i/>
                <w:iCs/>
                <w:color w:val="FFFFFF"/>
                <w:sz w:val="18"/>
                <w:szCs w:val="18"/>
              </w:rPr>
            </w:pPr>
            <w:r w:rsidRPr="00F97463">
              <w:rPr>
                <w:rFonts w:ascii="Calibri" w:hAnsi="Calibri" w:cs="Calibri"/>
                <w:b/>
                <w:bCs/>
                <w:i/>
                <w:iCs/>
                <w:color w:val="FFFFFF"/>
                <w:sz w:val="18"/>
                <w:szCs w:val="18"/>
              </w:rPr>
              <w:t>OUTCOMES</w:t>
            </w:r>
          </w:p>
        </w:tc>
        <w:tc>
          <w:tcPr>
            <w:tcW w:w="2610" w:type="dxa"/>
            <w:tcBorders>
              <w:bottom w:val="single" w:sz="6" w:space="0" w:color="000000"/>
            </w:tcBorders>
            <w:shd w:val="solid" w:color="000080" w:fill="FFFFFF"/>
            <w:vAlign w:val="center"/>
            <w:hideMark/>
          </w:tcPr>
          <w:p w:rsidR="003B71FA" w:rsidRPr="00F97463" w:rsidRDefault="003B71FA" w:rsidP="003B71FA">
            <w:pPr>
              <w:tabs>
                <w:tab w:val="center" w:pos="4320"/>
                <w:tab w:val="right" w:pos="8640"/>
              </w:tabs>
              <w:rPr>
                <w:rFonts w:ascii="Calibri" w:hAnsi="Calibri" w:cs="Calibri"/>
                <w:b/>
                <w:bCs/>
                <w:i/>
                <w:iCs/>
                <w:color w:val="000000"/>
                <w:sz w:val="18"/>
                <w:szCs w:val="18"/>
              </w:rPr>
            </w:pPr>
          </w:p>
        </w:tc>
      </w:tr>
      <w:tr w:rsidR="003B71FA" w:rsidRPr="007F4875" w:rsidTr="003B71FA">
        <w:trPr>
          <w:trHeight w:val="20"/>
        </w:trPr>
        <w:tc>
          <w:tcPr>
            <w:tcW w:w="4338" w:type="dxa"/>
            <w:shd w:val="solid" w:color="C0C0C0" w:fill="FFFFFF"/>
            <w:noWrap/>
            <w:vAlign w:val="center"/>
            <w:hideMark/>
          </w:tcPr>
          <w:p w:rsidR="003B71FA" w:rsidRPr="00F97463" w:rsidRDefault="003B71FA" w:rsidP="003B71FA">
            <w:pPr>
              <w:tabs>
                <w:tab w:val="center" w:pos="4320"/>
                <w:tab w:val="right" w:pos="8640"/>
              </w:tabs>
              <w:rPr>
                <w:rFonts w:ascii="Calibri" w:hAnsi="Calibri" w:cs="Calibri"/>
                <w:b/>
                <w:bCs/>
                <w:color w:val="000000"/>
                <w:sz w:val="18"/>
                <w:szCs w:val="18"/>
              </w:rPr>
            </w:pPr>
            <w:r w:rsidRPr="00F97463">
              <w:rPr>
                <w:rFonts w:ascii="Calibri" w:hAnsi="Calibri" w:cs="Calibri"/>
                <w:b/>
                <w:bCs/>
                <w:color w:val="000000"/>
                <w:sz w:val="18"/>
                <w:szCs w:val="18"/>
              </w:rPr>
              <w:t>Consumers</w:t>
            </w:r>
          </w:p>
        </w:tc>
        <w:tc>
          <w:tcPr>
            <w:tcW w:w="3510" w:type="dxa"/>
            <w:shd w:val="solid" w:color="C0C0C0" w:fill="FFFFFF"/>
            <w:vAlign w:val="center"/>
            <w:hideMark/>
          </w:tcPr>
          <w:p w:rsidR="003B71FA" w:rsidRPr="00F97463" w:rsidRDefault="003B71FA" w:rsidP="003B71FA">
            <w:pPr>
              <w:tabs>
                <w:tab w:val="center" w:pos="4320"/>
                <w:tab w:val="right" w:pos="8640"/>
              </w:tabs>
              <w:rPr>
                <w:rFonts w:ascii="Calibri" w:hAnsi="Calibri" w:cs="Calibri"/>
                <w:b/>
                <w:bCs/>
                <w:color w:val="000000"/>
                <w:sz w:val="18"/>
                <w:szCs w:val="18"/>
              </w:rPr>
            </w:pPr>
            <w:r w:rsidRPr="00F97463">
              <w:rPr>
                <w:rFonts w:ascii="Calibri" w:hAnsi="Calibri" w:cs="Calibri"/>
                <w:b/>
                <w:bCs/>
                <w:color w:val="000000"/>
                <w:sz w:val="18"/>
                <w:szCs w:val="18"/>
              </w:rPr>
              <w:t>Caregiver</w:t>
            </w:r>
            <w:r w:rsidR="00081B07">
              <w:rPr>
                <w:rFonts w:ascii="Calibri" w:hAnsi="Calibri" w:cs="Calibri"/>
                <w:b/>
                <w:bCs/>
                <w:color w:val="000000"/>
                <w:sz w:val="18"/>
                <w:szCs w:val="18"/>
              </w:rPr>
              <w:t>s</w:t>
            </w:r>
          </w:p>
        </w:tc>
        <w:tc>
          <w:tcPr>
            <w:tcW w:w="2610" w:type="dxa"/>
            <w:shd w:val="solid" w:color="C0C0C0" w:fill="FFFFFF"/>
            <w:vAlign w:val="center"/>
            <w:hideMark/>
          </w:tcPr>
          <w:p w:rsidR="003B71FA" w:rsidRPr="00F97463" w:rsidRDefault="003B71FA" w:rsidP="003B71FA">
            <w:pPr>
              <w:tabs>
                <w:tab w:val="center" w:pos="4320"/>
                <w:tab w:val="right" w:pos="8640"/>
              </w:tabs>
              <w:rPr>
                <w:rFonts w:ascii="Calibri" w:hAnsi="Calibri" w:cs="Calibri"/>
                <w:b/>
                <w:bCs/>
                <w:color w:val="000000"/>
                <w:sz w:val="18"/>
                <w:szCs w:val="18"/>
              </w:rPr>
            </w:pPr>
            <w:r w:rsidRPr="00F97463">
              <w:rPr>
                <w:rFonts w:ascii="Calibri" w:hAnsi="Calibri" w:cs="Calibri"/>
                <w:b/>
                <w:bCs/>
                <w:color w:val="000000"/>
                <w:sz w:val="18"/>
                <w:szCs w:val="18"/>
              </w:rPr>
              <w:t>Provider</w:t>
            </w:r>
            <w:r w:rsidR="00081B07">
              <w:rPr>
                <w:rFonts w:ascii="Calibri" w:hAnsi="Calibri" w:cs="Calibri"/>
                <w:b/>
                <w:bCs/>
                <w:color w:val="000000"/>
                <w:sz w:val="18"/>
                <w:szCs w:val="18"/>
              </w:rPr>
              <w:t>s</w:t>
            </w:r>
          </w:p>
        </w:tc>
      </w:tr>
      <w:tr w:rsidR="003B71FA" w:rsidRPr="007F4875" w:rsidTr="003B71FA">
        <w:trPr>
          <w:trHeight w:val="20"/>
        </w:trPr>
        <w:tc>
          <w:tcPr>
            <w:tcW w:w="4338" w:type="dxa"/>
            <w:shd w:val="solid" w:color="C0C0C0" w:fill="FFFFFF"/>
            <w:vAlign w:val="center"/>
            <w:hideMark/>
          </w:tcPr>
          <w:p w:rsidR="003B71FA" w:rsidRPr="006525E9" w:rsidRDefault="003B71FA" w:rsidP="003B71FA">
            <w:pPr>
              <w:tabs>
                <w:tab w:val="center" w:pos="4320"/>
                <w:tab w:val="right" w:pos="8640"/>
              </w:tabs>
              <w:rPr>
                <w:rFonts w:ascii="Calibri" w:hAnsi="Calibri" w:cs="Calibri"/>
                <w:bCs/>
                <w:color w:val="000000"/>
                <w:sz w:val="18"/>
                <w:szCs w:val="18"/>
              </w:rPr>
            </w:pPr>
            <w:r w:rsidRPr="006525E9">
              <w:rPr>
                <w:rFonts w:ascii="Calibri" w:hAnsi="Calibri" w:cs="Calibri"/>
                <w:bCs/>
                <w:color w:val="000000"/>
                <w:sz w:val="18"/>
                <w:szCs w:val="18"/>
              </w:rPr>
              <w:t>*are less likely to be re-hospitalized within 30- and 90-day periods</w:t>
            </w:r>
          </w:p>
        </w:tc>
        <w:tc>
          <w:tcPr>
            <w:tcW w:w="3510" w:type="dxa"/>
            <w:shd w:val="solid" w:color="C0C0C0" w:fill="FFFFFF"/>
            <w:vAlign w:val="center"/>
            <w:hideMark/>
          </w:tcPr>
          <w:p w:rsidR="003B71FA" w:rsidRPr="00F97463" w:rsidRDefault="003B71FA" w:rsidP="003B71FA">
            <w:pPr>
              <w:tabs>
                <w:tab w:val="center" w:pos="4320"/>
                <w:tab w:val="right" w:pos="8640"/>
              </w:tabs>
              <w:rPr>
                <w:rFonts w:ascii="Calibri" w:hAnsi="Calibri" w:cs="Calibri"/>
                <w:color w:val="000000"/>
                <w:sz w:val="18"/>
                <w:szCs w:val="18"/>
              </w:rPr>
            </w:pPr>
            <w:r w:rsidRPr="00F97463">
              <w:rPr>
                <w:rFonts w:ascii="Calibri" w:hAnsi="Calibri" w:cs="Calibri"/>
                <w:color w:val="000000"/>
                <w:sz w:val="18"/>
                <w:szCs w:val="18"/>
              </w:rPr>
              <w:t>*feel they have more supports for effective care-giving</w:t>
            </w:r>
          </w:p>
        </w:tc>
        <w:tc>
          <w:tcPr>
            <w:tcW w:w="2610" w:type="dxa"/>
            <w:shd w:val="solid" w:color="C0C0C0" w:fill="FFFFFF"/>
            <w:vAlign w:val="center"/>
            <w:hideMark/>
          </w:tcPr>
          <w:p w:rsidR="003B71FA" w:rsidRPr="00F97463" w:rsidRDefault="003B71FA" w:rsidP="00081B07">
            <w:pPr>
              <w:tabs>
                <w:tab w:val="center" w:pos="4320"/>
                <w:tab w:val="right" w:pos="8640"/>
              </w:tabs>
              <w:rPr>
                <w:rFonts w:ascii="Calibri" w:hAnsi="Calibri" w:cs="Calibri"/>
                <w:color w:val="000000"/>
                <w:sz w:val="18"/>
                <w:szCs w:val="18"/>
              </w:rPr>
            </w:pPr>
            <w:r w:rsidRPr="00F97463">
              <w:rPr>
                <w:rFonts w:ascii="Calibri" w:hAnsi="Calibri" w:cs="Calibri"/>
                <w:color w:val="000000"/>
                <w:sz w:val="18"/>
                <w:szCs w:val="18"/>
              </w:rPr>
              <w:t>*know about available Care Transitions support</w:t>
            </w:r>
          </w:p>
        </w:tc>
      </w:tr>
      <w:tr w:rsidR="003B71FA" w:rsidRPr="007F4875" w:rsidTr="003B71FA">
        <w:trPr>
          <w:trHeight w:val="20"/>
        </w:trPr>
        <w:tc>
          <w:tcPr>
            <w:tcW w:w="4338" w:type="dxa"/>
            <w:shd w:val="solid" w:color="C0C0C0" w:fill="FFFFFF"/>
            <w:vAlign w:val="center"/>
            <w:hideMark/>
          </w:tcPr>
          <w:p w:rsidR="003B71FA" w:rsidRDefault="003B71FA" w:rsidP="003B71FA">
            <w:pPr>
              <w:tabs>
                <w:tab w:val="center" w:pos="4320"/>
                <w:tab w:val="right" w:pos="8640"/>
              </w:tabs>
              <w:rPr>
                <w:rFonts w:ascii="Calibri" w:hAnsi="Calibri" w:cs="Calibri"/>
                <w:bCs/>
                <w:color w:val="000000"/>
                <w:sz w:val="18"/>
                <w:szCs w:val="18"/>
              </w:rPr>
            </w:pPr>
            <w:r w:rsidRPr="006525E9">
              <w:rPr>
                <w:rFonts w:ascii="Calibri" w:hAnsi="Calibri" w:cs="Calibri"/>
                <w:bCs/>
                <w:color w:val="000000"/>
                <w:sz w:val="18"/>
                <w:szCs w:val="18"/>
              </w:rPr>
              <w:t>*feel more in control of their health routines</w:t>
            </w:r>
          </w:p>
          <w:p w:rsidR="003B71FA" w:rsidRPr="006525E9" w:rsidRDefault="003B71FA" w:rsidP="003B71FA">
            <w:pPr>
              <w:tabs>
                <w:tab w:val="center" w:pos="4320"/>
                <w:tab w:val="right" w:pos="8640"/>
              </w:tabs>
              <w:rPr>
                <w:rFonts w:ascii="Calibri" w:hAnsi="Calibri" w:cs="Calibri"/>
                <w:bCs/>
                <w:color w:val="000000"/>
                <w:sz w:val="18"/>
                <w:szCs w:val="18"/>
              </w:rPr>
            </w:pPr>
            <w:r>
              <w:rPr>
                <w:rFonts w:ascii="Calibri" w:hAnsi="Calibri" w:cs="Calibri"/>
                <w:bCs/>
                <w:color w:val="000000"/>
                <w:sz w:val="18"/>
                <w:szCs w:val="18"/>
              </w:rPr>
              <w:t>*follow health regimens more effectively</w:t>
            </w:r>
          </w:p>
        </w:tc>
        <w:tc>
          <w:tcPr>
            <w:tcW w:w="3510" w:type="dxa"/>
            <w:shd w:val="solid" w:color="C0C0C0" w:fill="FFFFFF"/>
            <w:vAlign w:val="center"/>
            <w:hideMark/>
          </w:tcPr>
          <w:p w:rsidR="003B71FA" w:rsidRPr="00F97463" w:rsidRDefault="003B71FA" w:rsidP="003B71FA">
            <w:pPr>
              <w:tabs>
                <w:tab w:val="center" w:pos="4320"/>
                <w:tab w:val="right" w:pos="8640"/>
              </w:tabs>
              <w:rPr>
                <w:rFonts w:ascii="Calibri" w:hAnsi="Calibri" w:cs="Calibri"/>
                <w:color w:val="000000"/>
                <w:sz w:val="18"/>
                <w:szCs w:val="18"/>
              </w:rPr>
            </w:pPr>
            <w:r w:rsidRPr="00F97463">
              <w:rPr>
                <w:rFonts w:ascii="Calibri" w:hAnsi="Calibri" w:cs="Calibri"/>
                <w:color w:val="000000"/>
                <w:sz w:val="18"/>
                <w:szCs w:val="18"/>
              </w:rPr>
              <w:t>*are aware of available supports and how they work</w:t>
            </w:r>
          </w:p>
        </w:tc>
        <w:tc>
          <w:tcPr>
            <w:tcW w:w="2610" w:type="dxa"/>
            <w:shd w:val="solid" w:color="C0C0C0" w:fill="FFFFFF"/>
            <w:vAlign w:val="center"/>
            <w:hideMark/>
          </w:tcPr>
          <w:p w:rsidR="003B71FA" w:rsidRPr="00F97463" w:rsidRDefault="00081B07" w:rsidP="003B71FA">
            <w:pPr>
              <w:tabs>
                <w:tab w:val="center" w:pos="4320"/>
                <w:tab w:val="right" w:pos="8640"/>
              </w:tabs>
              <w:rPr>
                <w:rFonts w:ascii="Calibri" w:hAnsi="Calibri" w:cs="Calibri"/>
                <w:color w:val="000000"/>
                <w:sz w:val="18"/>
                <w:szCs w:val="18"/>
              </w:rPr>
            </w:pPr>
            <w:r>
              <w:rPr>
                <w:rFonts w:ascii="Calibri" w:hAnsi="Calibri" w:cs="Calibri"/>
                <w:color w:val="000000"/>
                <w:sz w:val="18"/>
                <w:szCs w:val="18"/>
              </w:rPr>
              <w:t>*make</w:t>
            </w:r>
            <w:r w:rsidR="003B71FA" w:rsidRPr="00F97463">
              <w:rPr>
                <w:rFonts w:ascii="Calibri" w:hAnsi="Calibri" w:cs="Calibri"/>
                <w:color w:val="000000"/>
                <w:sz w:val="18"/>
                <w:szCs w:val="18"/>
              </w:rPr>
              <w:t xml:space="preserve"> appropriate referrals to Care Transitions supports</w:t>
            </w:r>
          </w:p>
        </w:tc>
      </w:tr>
      <w:tr w:rsidR="003B71FA" w:rsidRPr="007F4875" w:rsidTr="003B71FA">
        <w:trPr>
          <w:trHeight w:val="20"/>
        </w:trPr>
        <w:tc>
          <w:tcPr>
            <w:tcW w:w="4338" w:type="dxa"/>
            <w:shd w:val="solid" w:color="C0C0C0" w:fill="FFFFFF"/>
            <w:vAlign w:val="center"/>
            <w:hideMark/>
          </w:tcPr>
          <w:p w:rsidR="003B71FA" w:rsidRPr="006525E9" w:rsidRDefault="003B71FA" w:rsidP="003B71FA">
            <w:pPr>
              <w:tabs>
                <w:tab w:val="center" w:pos="4320"/>
                <w:tab w:val="right" w:pos="8640"/>
              </w:tabs>
              <w:rPr>
                <w:rFonts w:ascii="Calibri" w:hAnsi="Calibri" w:cs="Calibri"/>
                <w:bCs/>
                <w:color w:val="000000"/>
                <w:sz w:val="18"/>
                <w:szCs w:val="18"/>
              </w:rPr>
            </w:pPr>
            <w:r w:rsidRPr="006525E9">
              <w:rPr>
                <w:rFonts w:ascii="Calibri" w:hAnsi="Calibri" w:cs="Calibri"/>
                <w:bCs/>
                <w:color w:val="000000"/>
                <w:sz w:val="18"/>
                <w:szCs w:val="18"/>
              </w:rPr>
              <w:t>*feel they have more choices about how to effectively manage their health routines</w:t>
            </w:r>
          </w:p>
        </w:tc>
        <w:tc>
          <w:tcPr>
            <w:tcW w:w="3510" w:type="dxa"/>
            <w:shd w:val="solid" w:color="C0C0C0" w:fill="FFFFFF"/>
            <w:vAlign w:val="center"/>
            <w:hideMark/>
          </w:tcPr>
          <w:p w:rsidR="003B71FA" w:rsidRPr="00F97463" w:rsidRDefault="003B71FA" w:rsidP="003B71FA">
            <w:pPr>
              <w:tabs>
                <w:tab w:val="center" w:pos="4320"/>
                <w:tab w:val="right" w:pos="8640"/>
              </w:tabs>
              <w:rPr>
                <w:rFonts w:ascii="Calibri" w:hAnsi="Calibri" w:cs="Calibri"/>
                <w:color w:val="000000"/>
                <w:sz w:val="18"/>
                <w:szCs w:val="18"/>
              </w:rPr>
            </w:pPr>
            <w:r w:rsidRPr="00F97463">
              <w:rPr>
                <w:rFonts w:ascii="Calibri" w:hAnsi="Calibri" w:cs="Calibri"/>
                <w:color w:val="000000"/>
                <w:sz w:val="18"/>
                <w:szCs w:val="18"/>
              </w:rPr>
              <w:t>*feel they can do more effective problem-solving</w:t>
            </w:r>
          </w:p>
        </w:tc>
        <w:tc>
          <w:tcPr>
            <w:tcW w:w="2610" w:type="dxa"/>
            <w:shd w:val="solid" w:color="C0C0C0" w:fill="FFFFFF"/>
            <w:vAlign w:val="center"/>
            <w:hideMark/>
          </w:tcPr>
          <w:p w:rsidR="003B71FA" w:rsidRPr="00F97463" w:rsidRDefault="00081B07" w:rsidP="003B71FA">
            <w:pPr>
              <w:tabs>
                <w:tab w:val="center" w:pos="4320"/>
                <w:tab w:val="right" w:pos="8640"/>
              </w:tabs>
              <w:rPr>
                <w:rFonts w:ascii="Calibri" w:hAnsi="Calibri" w:cs="Calibri"/>
                <w:color w:val="000000"/>
                <w:sz w:val="18"/>
                <w:szCs w:val="18"/>
              </w:rPr>
            </w:pPr>
            <w:r>
              <w:rPr>
                <w:rFonts w:ascii="Calibri" w:hAnsi="Calibri" w:cs="Calibri"/>
                <w:color w:val="000000"/>
                <w:sz w:val="18"/>
                <w:szCs w:val="18"/>
              </w:rPr>
              <w:t>*believe</w:t>
            </w:r>
            <w:r w:rsidR="003B71FA" w:rsidRPr="00F97463">
              <w:rPr>
                <w:rFonts w:ascii="Calibri" w:hAnsi="Calibri" w:cs="Calibri"/>
                <w:color w:val="000000"/>
                <w:sz w:val="18"/>
                <w:szCs w:val="18"/>
              </w:rPr>
              <w:t xml:space="preserve"> communications with patients has improved</w:t>
            </w:r>
          </w:p>
        </w:tc>
      </w:tr>
      <w:tr w:rsidR="003B71FA" w:rsidRPr="007F4875" w:rsidTr="003B71FA">
        <w:trPr>
          <w:trHeight w:val="20"/>
        </w:trPr>
        <w:tc>
          <w:tcPr>
            <w:tcW w:w="4338" w:type="dxa"/>
            <w:shd w:val="solid" w:color="C0C0C0" w:fill="FFFFFF"/>
            <w:vAlign w:val="center"/>
            <w:hideMark/>
          </w:tcPr>
          <w:p w:rsidR="003B71FA" w:rsidRDefault="003B71FA" w:rsidP="003B71FA">
            <w:pPr>
              <w:tabs>
                <w:tab w:val="center" w:pos="4320"/>
                <w:tab w:val="right" w:pos="8640"/>
              </w:tabs>
              <w:rPr>
                <w:rFonts w:ascii="Calibri" w:hAnsi="Calibri" w:cs="Calibri"/>
                <w:bCs/>
                <w:color w:val="000000"/>
                <w:sz w:val="18"/>
                <w:szCs w:val="18"/>
              </w:rPr>
            </w:pPr>
            <w:r w:rsidRPr="006525E9">
              <w:rPr>
                <w:rFonts w:ascii="Calibri" w:hAnsi="Calibri" w:cs="Calibri"/>
                <w:bCs/>
                <w:color w:val="000000"/>
                <w:sz w:val="18"/>
                <w:szCs w:val="18"/>
              </w:rPr>
              <w:t>*</w:t>
            </w:r>
            <w:r>
              <w:rPr>
                <w:rFonts w:ascii="Calibri" w:hAnsi="Calibri" w:cs="Calibri"/>
                <w:bCs/>
                <w:color w:val="000000"/>
                <w:sz w:val="18"/>
                <w:szCs w:val="18"/>
              </w:rPr>
              <w:t>communicate more effectively with health providers</w:t>
            </w:r>
          </w:p>
          <w:p w:rsidR="003B71FA" w:rsidRDefault="003B71FA" w:rsidP="003B71FA">
            <w:pPr>
              <w:tabs>
                <w:tab w:val="center" w:pos="4320"/>
                <w:tab w:val="right" w:pos="8640"/>
              </w:tabs>
              <w:rPr>
                <w:rFonts w:ascii="Calibri" w:hAnsi="Calibri" w:cs="Calibri"/>
                <w:bCs/>
                <w:color w:val="000000"/>
                <w:sz w:val="18"/>
                <w:szCs w:val="18"/>
              </w:rPr>
            </w:pPr>
            <w:r>
              <w:rPr>
                <w:rFonts w:ascii="Calibri" w:hAnsi="Calibri" w:cs="Calibri"/>
                <w:bCs/>
                <w:color w:val="000000"/>
                <w:sz w:val="18"/>
                <w:szCs w:val="18"/>
              </w:rPr>
              <w:t>*are satisfied with their health management choices</w:t>
            </w:r>
          </w:p>
          <w:p w:rsidR="003B71FA" w:rsidRDefault="003B71FA" w:rsidP="003B71FA">
            <w:pPr>
              <w:tabs>
                <w:tab w:val="center" w:pos="4320"/>
                <w:tab w:val="right" w:pos="8640"/>
              </w:tabs>
              <w:rPr>
                <w:rFonts w:ascii="Calibri" w:hAnsi="Calibri" w:cs="Calibri"/>
                <w:bCs/>
                <w:color w:val="000000"/>
                <w:sz w:val="18"/>
                <w:szCs w:val="18"/>
              </w:rPr>
            </w:pPr>
            <w:r>
              <w:rPr>
                <w:rFonts w:ascii="Calibri" w:hAnsi="Calibri" w:cs="Calibri"/>
                <w:bCs/>
                <w:color w:val="000000"/>
                <w:sz w:val="18"/>
                <w:szCs w:val="18"/>
              </w:rPr>
              <w:t>*have identified and know how to use a wider range of supports for managing their health routines</w:t>
            </w:r>
          </w:p>
          <w:p w:rsidR="003B71FA" w:rsidRPr="006525E9" w:rsidRDefault="003B71FA" w:rsidP="003B71FA">
            <w:pPr>
              <w:tabs>
                <w:tab w:val="center" w:pos="4320"/>
                <w:tab w:val="right" w:pos="8640"/>
              </w:tabs>
              <w:rPr>
                <w:rFonts w:ascii="Calibri" w:hAnsi="Calibri" w:cs="Calibri"/>
                <w:bCs/>
                <w:color w:val="000000"/>
                <w:sz w:val="18"/>
                <w:szCs w:val="18"/>
              </w:rPr>
            </w:pPr>
            <w:r>
              <w:rPr>
                <w:rFonts w:ascii="Calibri" w:hAnsi="Calibri" w:cs="Calibri"/>
                <w:bCs/>
                <w:color w:val="000000"/>
                <w:sz w:val="18"/>
                <w:szCs w:val="18"/>
              </w:rPr>
              <w:t>*feel  more positive about their health and well-being</w:t>
            </w:r>
          </w:p>
        </w:tc>
        <w:tc>
          <w:tcPr>
            <w:tcW w:w="3510" w:type="dxa"/>
            <w:shd w:val="solid" w:color="C0C0C0" w:fill="FFFFFF"/>
            <w:vAlign w:val="center"/>
            <w:hideMark/>
          </w:tcPr>
          <w:p w:rsidR="003B71FA" w:rsidRDefault="003B71FA" w:rsidP="003B71FA">
            <w:pPr>
              <w:tabs>
                <w:tab w:val="center" w:pos="4320"/>
                <w:tab w:val="right" w:pos="8640"/>
              </w:tabs>
              <w:rPr>
                <w:rFonts w:ascii="Calibri" w:hAnsi="Calibri" w:cs="Calibri"/>
                <w:color w:val="000000"/>
                <w:sz w:val="18"/>
                <w:szCs w:val="18"/>
              </w:rPr>
            </w:pPr>
            <w:r w:rsidRPr="00F97463">
              <w:rPr>
                <w:rFonts w:ascii="Calibri" w:hAnsi="Calibri" w:cs="Calibri"/>
                <w:color w:val="000000"/>
                <w:sz w:val="18"/>
                <w:szCs w:val="18"/>
              </w:rPr>
              <w:t>*feel they can cope better with stress</w:t>
            </w:r>
          </w:p>
          <w:p w:rsidR="003B71FA" w:rsidRDefault="003B71FA" w:rsidP="003B71FA">
            <w:pPr>
              <w:tabs>
                <w:tab w:val="center" w:pos="4320"/>
                <w:tab w:val="right" w:pos="8640"/>
              </w:tabs>
              <w:rPr>
                <w:rFonts w:ascii="Calibri" w:hAnsi="Calibri" w:cs="Calibri"/>
                <w:color w:val="000000"/>
                <w:sz w:val="18"/>
                <w:szCs w:val="18"/>
              </w:rPr>
            </w:pPr>
            <w:r>
              <w:rPr>
                <w:rFonts w:ascii="Calibri" w:hAnsi="Calibri" w:cs="Calibri"/>
                <w:color w:val="000000"/>
                <w:sz w:val="18"/>
                <w:szCs w:val="18"/>
              </w:rPr>
              <w:t>*believe they can better manage the health routines of the care recipient</w:t>
            </w:r>
          </w:p>
          <w:p w:rsidR="003B71FA" w:rsidRPr="00F97463" w:rsidRDefault="003B71FA" w:rsidP="003B71FA">
            <w:pPr>
              <w:tabs>
                <w:tab w:val="center" w:pos="4320"/>
                <w:tab w:val="right" w:pos="8640"/>
              </w:tabs>
              <w:rPr>
                <w:rFonts w:ascii="Calibri" w:hAnsi="Calibri" w:cs="Calibri"/>
                <w:color w:val="000000"/>
                <w:sz w:val="18"/>
                <w:szCs w:val="18"/>
              </w:rPr>
            </w:pPr>
            <w:r>
              <w:rPr>
                <w:rFonts w:ascii="Calibri" w:hAnsi="Calibri" w:cs="Calibri"/>
                <w:color w:val="000000"/>
                <w:sz w:val="18"/>
                <w:szCs w:val="18"/>
              </w:rPr>
              <w:t>*believe they can better manage their own daily lives</w:t>
            </w:r>
          </w:p>
        </w:tc>
        <w:tc>
          <w:tcPr>
            <w:tcW w:w="2610" w:type="dxa"/>
            <w:shd w:val="solid" w:color="C0C0C0" w:fill="FFFFFF"/>
            <w:vAlign w:val="center"/>
            <w:hideMark/>
          </w:tcPr>
          <w:p w:rsidR="003B71FA" w:rsidRPr="00F97463" w:rsidRDefault="003B71FA" w:rsidP="00081B07">
            <w:pPr>
              <w:tabs>
                <w:tab w:val="center" w:pos="4320"/>
                <w:tab w:val="right" w:pos="8640"/>
              </w:tabs>
              <w:rPr>
                <w:rFonts w:ascii="Calibri" w:hAnsi="Calibri" w:cs="Calibri"/>
                <w:color w:val="000000"/>
                <w:sz w:val="18"/>
                <w:szCs w:val="18"/>
              </w:rPr>
            </w:pPr>
            <w:r w:rsidRPr="00F97463">
              <w:rPr>
                <w:rFonts w:ascii="Calibri" w:hAnsi="Calibri" w:cs="Calibri"/>
                <w:color w:val="000000"/>
                <w:sz w:val="18"/>
                <w:szCs w:val="18"/>
              </w:rPr>
              <w:t>*</w:t>
            </w:r>
            <w:r w:rsidR="00081B07">
              <w:rPr>
                <w:rFonts w:ascii="Calibri" w:hAnsi="Calibri" w:cs="Calibri"/>
                <w:color w:val="000000"/>
                <w:sz w:val="18"/>
                <w:szCs w:val="18"/>
              </w:rPr>
              <w:t xml:space="preserve">are </w:t>
            </w:r>
            <w:r w:rsidRPr="00F97463">
              <w:rPr>
                <w:rFonts w:ascii="Calibri" w:hAnsi="Calibri" w:cs="Calibri"/>
                <w:color w:val="000000"/>
                <w:sz w:val="18"/>
                <w:szCs w:val="18"/>
              </w:rPr>
              <w:t>more willing to participate in care transitions support programs and/or integrate care transition elements into their practices</w:t>
            </w:r>
          </w:p>
        </w:tc>
      </w:tr>
      <w:tr w:rsidR="003B71FA" w:rsidRPr="007F4875" w:rsidTr="003B71FA">
        <w:trPr>
          <w:trHeight w:val="20"/>
        </w:trPr>
        <w:tc>
          <w:tcPr>
            <w:tcW w:w="4338" w:type="dxa"/>
            <w:shd w:val="solid" w:color="C0C0C0" w:fill="FFFFFF"/>
            <w:vAlign w:val="center"/>
            <w:hideMark/>
          </w:tcPr>
          <w:p w:rsidR="003B71FA" w:rsidRPr="006525E9" w:rsidRDefault="003B71FA" w:rsidP="003B71FA">
            <w:pPr>
              <w:tabs>
                <w:tab w:val="center" w:pos="4320"/>
                <w:tab w:val="right" w:pos="8640"/>
              </w:tabs>
              <w:rPr>
                <w:rFonts w:ascii="Calibri" w:hAnsi="Calibri" w:cs="Calibri"/>
                <w:bCs/>
                <w:color w:val="000000"/>
                <w:sz w:val="18"/>
                <w:szCs w:val="18"/>
              </w:rPr>
            </w:pPr>
          </w:p>
        </w:tc>
        <w:tc>
          <w:tcPr>
            <w:tcW w:w="3510" w:type="dxa"/>
            <w:shd w:val="solid" w:color="C0C0C0" w:fill="FFFFFF"/>
            <w:vAlign w:val="center"/>
            <w:hideMark/>
          </w:tcPr>
          <w:p w:rsidR="003B71FA" w:rsidRPr="00F97463" w:rsidRDefault="003B71FA" w:rsidP="003B71FA">
            <w:pPr>
              <w:tabs>
                <w:tab w:val="center" w:pos="4320"/>
                <w:tab w:val="right" w:pos="8640"/>
              </w:tabs>
              <w:rPr>
                <w:rFonts w:ascii="Calibri" w:hAnsi="Calibri" w:cs="Calibri"/>
                <w:color w:val="000000"/>
                <w:sz w:val="18"/>
                <w:szCs w:val="18"/>
              </w:rPr>
            </w:pPr>
          </w:p>
        </w:tc>
        <w:tc>
          <w:tcPr>
            <w:tcW w:w="2610" w:type="dxa"/>
            <w:shd w:val="solid" w:color="C0C0C0" w:fill="FFFFFF"/>
            <w:vAlign w:val="center"/>
            <w:hideMark/>
          </w:tcPr>
          <w:p w:rsidR="003B71FA" w:rsidRPr="00F97463" w:rsidRDefault="003B71FA" w:rsidP="003B71FA">
            <w:pPr>
              <w:tabs>
                <w:tab w:val="center" w:pos="4320"/>
                <w:tab w:val="right" w:pos="8640"/>
              </w:tabs>
              <w:rPr>
                <w:rFonts w:ascii="Calibri" w:hAnsi="Calibri" w:cs="Calibri"/>
                <w:color w:val="000000"/>
                <w:sz w:val="18"/>
                <w:szCs w:val="18"/>
              </w:rPr>
            </w:pPr>
          </w:p>
        </w:tc>
      </w:tr>
    </w:tbl>
    <w:p w:rsidR="003B71FA" w:rsidRPr="003B71FA" w:rsidRDefault="003B71FA" w:rsidP="003B71FA">
      <w:pPr>
        <w:tabs>
          <w:tab w:val="left" w:pos="0"/>
        </w:tabs>
        <w:rPr>
          <w:rFonts w:ascii="Tw Cen MT" w:hAnsi="Tw Cen MT"/>
        </w:rPr>
      </w:pPr>
      <w:r>
        <w:rPr>
          <w:rFonts w:ascii="Tw Cen MT" w:hAnsi="Tw Cen MT"/>
        </w:rPr>
        <w:lastRenderedPageBreak/>
        <w:t>At the state level, partners include the Executive Office of Elder Affairs (EOEA), Mass Rehab Commission (MRC), MassHealth, and the University of Massachusetts Donahue Institute (UMDI).  EOEA is the lead agency.</w:t>
      </w:r>
    </w:p>
    <w:p w:rsidR="00401768" w:rsidRPr="007B16FE" w:rsidRDefault="00401768" w:rsidP="003F0940">
      <w:pPr>
        <w:tabs>
          <w:tab w:val="left" w:pos="0"/>
        </w:tabs>
        <w:spacing w:line="276" w:lineRule="auto"/>
        <w:rPr>
          <w:rFonts w:ascii="Tw Cen MT" w:hAnsi="Tw Cen MT"/>
        </w:rPr>
      </w:pPr>
    </w:p>
    <w:p w:rsidR="003F0940" w:rsidRDefault="003F0940" w:rsidP="003F0940">
      <w:pPr>
        <w:spacing w:line="276" w:lineRule="auto"/>
        <w:rPr>
          <w:rFonts w:ascii="Tw Cen MT" w:hAnsi="Tw Cen MT"/>
        </w:rPr>
      </w:pPr>
      <w:r w:rsidRPr="003F0940">
        <w:rPr>
          <w:rFonts w:ascii="Tw Cen MT" w:hAnsi="Tw Cen MT"/>
        </w:rPr>
        <w:t xml:space="preserve">The </w:t>
      </w:r>
      <w:r w:rsidR="00E240E1">
        <w:rPr>
          <w:rFonts w:ascii="Tw Cen MT" w:hAnsi="Tw Cen MT"/>
        </w:rPr>
        <w:t>project</w:t>
      </w:r>
      <w:r w:rsidRPr="003F0940">
        <w:rPr>
          <w:rFonts w:ascii="Tw Cen MT" w:hAnsi="Tw Cen MT"/>
        </w:rPr>
        <w:t xml:space="preserve"> focuses on three domains of inquiry in order to fully assess impact:</w:t>
      </w:r>
    </w:p>
    <w:p w:rsidR="003B71FA" w:rsidRDefault="003B71FA" w:rsidP="003F0940">
      <w:pPr>
        <w:spacing w:line="276" w:lineRule="auto"/>
        <w:rPr>
          <w:rFonts w:ascii="Tw Cen MT" w:hAnsi="Tw Cen MT"/>
        </w:rPr>
      </w:pPr>
    </w:p>
    <w:p w:rsidR="003F0940" w:rsidRDefault="003F0940" w:rsidP="003F0940">
      <w:pPr>
        <w:pStyle w:val="ListParagraph"/>
        <w:numPr>
          <w:ilvl w:val="0"/>
          <w:numId w:val="3"/>
        </w:numPr>
        <w:spacing w:after="0"/>
        <w:ind w:left="360"/>
        <w:rPr>
          <w:rFonts w:ascii="Tw Cen MT" w:hAnsi="Tw Cen MT"/>
          <w:sz w:val="24"/>
          <w:szCs w:val="24"/>
        </w:rPr>
      </w:pPr>
      <w:r w:rsidRPr="003F0940">
        <w:rPr>
          <w:rFonts w:ascii="Tw Cen MT" w:hAnsi="Tw Cen MT"/>
          <w:b/>
          <w:sz w:val="24"/>
          <w:szCs w:val="24"/>
        </w:rPr>
        <w:t xml:space="preserve">Fidelity. </w:t>
      </w:r>
      <w:r w:rsidRPr="003F0940">
        <w:rPr>
          <w:rFonts w:ascii="Tw Cen MT" w:hAnsi="Tw Cen MT"/>
          <w:sz w:val="24"/>
          <w:szCs w:val="24"/>
        </w:rPr>
        <w:t xml:space="preserve">The ADRCGNS follows the protocols and tools as prescribed by the specific programs, with special attention focused on ensuring optimal fidelity with the CTI model. Coaches are provided with protocol checklists, reporting protocol adherence at each intervention.  Each coach is observed implementing various aspects of the intervention at periodic intervals. ADRCGNS </w:t>
      </w:r>
      <w:r w:rsidR="00E240E1">
        <w:rPr>
          <w:rFonts w:ascii="Tw Cen MT" w:hAnsi="Tw Cen MT"/>
          <w:sz w:val="24"/>
          <w:szCs w:val="24"/>
        </w:rPr>
        <w:t xml:space="preserve">includes </w:t>
      </w:r>
      <w:r w:rsidRPr="003F0940">
        <w:rPr>
          <w:rFonts w:ascii="Tw Cen MT" w:hAnsi="Tw Cen MT"/>
          <w:sz w:val="24"/>
          <w:szCs w:val="24"/>
        </w:rPr>
        <w:t xml:space="preserve">suggested CTI process indicators </w:t>
      </w:r>
      <w:r w:rsidR="00E240E1">
        <w:rPr>
          <w:rFonts w:ascii="Tw Cen MT" w:hAnsi="Tw Cen MT"/>
          <w:sz w:val="24"/>
          <w:szCs w:val="24"/>
        </w:rPr>
        <w:t xml:space="preserve">as part of its data gathering tool in order </w:t>
      </w:r>
      <w:r w:rsidRPr="003F0940">
        <w:rPr>
          <w:rFonts w:ascii="Tw Cen MT" w:hAnsi="Tw Cen MT"/>
          <w:sz w:val="24"/>
          <w:szCs w:val="24"/>
        </w:rPr>
        <w:t>to monitor adherence and immediately addresses fidelity issues should they emerge.</w:t>
      </w:r>
      <w:r w:rsidRPr="003F0940">
        <w:rPr>
          <w:rStyle w:val="EndnoteReference"/>
          <w:rFonts w:ascii="Tw Cen MT" w:hAnsi="Tw Cen MT"/>
          <w:sz w:val="24"/>
          <w:szCs w:val="24"/>
        </w:rPr>
        <w:endnoteReference w:id="2"/>
      </w:r>
    </w:p>
    <w:p w:rsidR="003F0940" w:rsidRPr="003F0940" w:rsidRDefault="003F0940" w:rsidP="003F0940">
      <w:pPr>
        <w:pStyle w:val="ListParagraph"/>
        <w:spacing w:after="0"/>
        <w:ind w:left="360"/>
        <w:rPr>
          <w:rFonts w:ascii="Tw Cen MT" w:hAnsi="Tw Cen MT"/>
          <w:sz w:val="24"/>
          <w:szCs w:val="24"/>
        </w:rPr>
      </w:pPr>
    </w:p>
    <w:p w:rsidR="003F0940" w:rsidRDefault="003F0940" w:rsidP="003F0940">
      <w:pPr>
        <w:pStyle w:val="ListParagraph"/>
        <w:numPr>
          <w:ilvl w:val="0"/>
          <w:numId w:val="3"/>
        </w:numPr>
        <w:spacing w:after="0"/>
        <w:ind w:left="360"/>
        <w:rPr>
          <w:rFonts w:ascii="Tw Cen MT" w:hAnsi="Tw Cen MT"/>
          <w:sz w:val="24"/>
          <w:szCs w:val="24"/>
        </w:rPr>
      </w:pPr>
      <w:r w:rsidRPr="003F0940">
        <w:rPr>
          <w:rFonts w:ascii="Tw Cen MT" w:hAnsi="Tw Cen MT"/>
          <w:b/>
          <w:sz w:val="24"/>
          <w:szCs w:val="24"/>
        </w:rPr>
        <w:t xml:space="preserve">Consumer Satisfaction and Outcomes. </w:t>
      </w:r>
      <w:r w:rsidRPr="003F0940">
        <w:rPr>
          <w:rFonts w:ascii="Tw Cen MT" w:hAnsi="Tw Cen MT"/>
          <w:sz w:val="24"/>
          <w:szCs w:val="24"/>
        </w:rPr>
        <w:t xml:space="preserve">NACS is designed to produce more successful transition outcomes: fewer re-hospitalizations and premature institutionalizations; greater consumer choices, self-determination, satisfaction and enhanced life quality during and following the transition process.   To determine changes in these qualitative areas, ADCRGNS </w:t>
      </w:r>
      <w:r w:rsidR="007B16FE">
        <w:rPr>
          <w:rFonts w:ascii="Tw Cen MT" w:hAnsi="Tw Cen MT"/>
          <w:sz w:val="24"/>
          <w:szCs w:val="24"/>
        </w:rPr>
        <w:t xml:space="preserve">has </w:t>
      </w:r>
      <w:r w:rsidR="00E240E1">
        <w:rPr>
          <w:rFonts w:ascii="Tw Cen MT" w:hAnsi="Tw Cen MT"/>
          <w:sz w:val="24"/>
          <w:szCs w:val="24"/>
        </w:rPr>
        <w:t xml:space="preserve">incorporated critical outcome questions within the data gathering tool that also includes the CTI-3 module, the Four Pillar Scores, the Patient Activation Measurement tool (developed by Dr. Judith Hibbard and licensed to the project for use).  Key questions are administered at various junctures throughout the project. </w:t>
      </w:r>
      <w:r w:rsidRPr="003F0940">
        <w:rPr>
          <w:rFonts w:ascii="Tw Cen MT" w:hAnsi="Tw Cen MT"/>
          <w:sz w:val="24"/>
          <w:szCs w:val="24"/>
        </w:rPr>
        <w:t>The ADRCGNS wants to know whether 1) NACS transfers skills, and if so, for how long after the intervention; 2) whether the skills are used; and 3) how using the skills affects satisfaction and life quality .  Finally, we wish to know whether the CTI impact is strengthened when consumers and their caregivers have access to the other comm</w:t>
      </w:r>
      <w:r w:rsidR="00E240E1">
        <w:rPr>
          <w:rFonts w:ascii="Tw Cen MT" w:hAnsi="Tw Cen MT"/>
          <w:sz w:val="24"/>
          <w:szCs w:val="24"/>
        </w:rPr>
        <w:t>unity programs NACS will offer. To better understand the impact of the project on caregivers and providers, the ADRCGNS</w:t>
      </w:r>
      <w:r w:rsidRPr="003F0940">
        <w:rPr>
          <w:rFonts w:ascii="Tw Cen MT" w:hAnsi="Tw Cen MT"/>
          <w:sz w:val="24"/>
          <w:szCs w:val="24"/>
        </w:rPr>
        <w:t xml:space="preserve"> </w:t>
      </w:r>
      <w:r w:rsidR="00E240E1">
        <w:rPr>
          <w:rFonts w:ascii="Tw Cen MT" w:hAnsi="Tw Cen MT"/>
          <w:sz w:val="24"/>
          <w:szCs w:val="24"/>
        </w:rPr>
        <w:t>will conduct appropriate interviews and focus groups</w:t>
      </w:r>
      <w:r w:rsidR="00E240E1" w:rsidRPr="003F0940">
        <w:rPr>
          <w:rFonts w:ascii="Tw Cen MT" w:hAnsi="Tw Cen MT"/>
          <w:sz w:val="24"/>
          <w:szCs w:val="24"/>
        </w:rPr>
        <w:t>.</w:t>
      </w:r>
      <w:r w:rsidR="00E240E1" w:rsidRPr="003F0940">
        <w:rPr>
          <w:rStyle w:val="EndnoteReference"/>
          <w:rFonts w:ascii="Tw Cen MT" w:hAnsi="Tw Cen MT"/>
          <w:sz w:val="24"/>
          <w:szCs w:val="24"/>
        </w:rPr>
        <w:endnoteReference w:id="3"/>
      </w:r>
      <w:r w:rsidR="00E240E1" w:rsidRPr="003F0940">
        <w:rPr>
          <w:rFonts w:ascii="Tw Cen MT" w:hAnsi="Tw Cen MT"/>
          <w:sz w:val="24"/>
          <w:szCs w:val="24"/>
        </w:rPr>
        <w:t xml:space="preserve">  </w:t>
      </w:r>
    </w:p>
    <w:p w:rsidR="003F0940" w:rsidRPr="003F0940" w:rsidRDefault="003F0940" w:rsidP="003F0940">
      <w:pPr>
        <w:pStyle w:val="ListParagraph"/>
        <w:spacing w:after="0"/>
        <w:ind w:left="360"/>
        <w:rPr>
          <w:rFonts w:ascii="Tw Cen MT" w:hAnsi="Tw Cen MT"/>
          <w:sz w:val="24"/>
          <w:szCs w:val="24"/>
        </w:rPr>
      </w:pPr>
    </w:p>
    <w:p w:rsidR="003F0940" w:rsidRPr="003F0940" w:rsidRDefault="003F0940" w:rsidP="003F0940">
      <w:pPr>
        <w:pStyle w:val="ListParagraph"/>
        <w:keepNext/>
        <w:numPr>
          <w:ilvl w:val="0"/>
          <w:numId w:val="3"/>
        </w:numPr>
        <w:spacing w:after="0"/>
        <w:ind w:left="360"/>
        <w:rPr>
          <w:rFonts w:ascii="Tw Cen MT" w:hAnsi="Tw Cen MT"/>
          <w:sz w:val="24"/>
          <w:szCs w:val="24"/>
        </w:rPr>
      </w:pPr>
      <w:r w:rsidRPr="003F0940">
        <w:rPr>
          <w:rFonts w:ascii="Tw Cen MT" w:hAnsi="Tw Cen MT"/>
          <w:b/>
          <w:sz w:val="24"/>
          <w:szCs w:val="24"/>
        </w:rPr>
        <w:t xml:space="preserve">Hospital Data. </w:t>
      </w:r>
      <w:r w:rsidRPr="003F0940">
        <w:rPr>
          <w:rFonts w:ascii="Tw Cen MT" w:hAnsi="Tw Cen MT"/>
          <w:sz w:val="24"/>
          <w:szCs w:val="24"/>
        </w:rPr>
        <w:t xml:space="preserve">To assess the impact of the NACS intervention on the critical issue of hospital re-admissions at 30- and 90-day time interval will require </w:t>
      </w:r>
      <w:r>
        <w:rPr>
          <w:rFonts w:ascii="Tw Cen MT" w:hAnsi="Tw Cen MT"/>
          <w:sz w:val="24"/>
          <w:szCs w:val="24"/>
        </w:rPr>
        <w:t>comparison of the intervention group to rates for a baseline group.  Because this is not a research study, we are not creating a contemporary control group but will, instead, identify rates for a patient group with similar characteristics within the past two years.</w:t>
      </w:r>
    </w:p>
    <w:p w:rsidR="00136187" w:rsidRDefault="00136187" w:rsidP="00387178">
      <w:pPr>
        <w:spacing w:after="200" w:line="276" w:lineRule="auto"/>
      </w:pPr>
    </w:p>
    <w:p w:rsidR="00410EBB" w:rsidRDefault="00387178" w:rsidP="00387178">
      <w:pPr>
        <w:spacing w:after="200" w:line="276" w:lineRule="auto"/>
      </w:pPr>
      <w:r>
        <w:br w:type="page"/>
      </w:r>
      <w:r w:rsidRPr="00D817D0">
        <w:rPr>
          <w:rFonts w:ascii="Garamond" w:hAnsi="Garamond" w:cs="Tahoma"/>
          <w:b/>
          <w:noProof/>
          <w:color w:val="1F497D"/>
          <w:sz w:val="28"/>
          <w:szCs w:val="28"/>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9235440" cy="6466691"/>
            <wp:effectExtent l="203517" t="139383" r="264478" b="188277"/>
            <wp:wrapSquare wrapText="bothSides"/>
            <wp:docPr id="4" name="Picture 0" descr="FlowchartRevis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Revised5.jpg"/>
                    <pic:cNvPicPr/>
                  </pic:nvPicPr>
                  <pic:blipFill>
                    <a:blip r:embed="rId9" cstate="print"/>
                    <a:stretch>
                      <a:fillRect/>
                    </a:stretch>
                  </pic:blipFill>
                  <pic:spPr>
                    <a:xfrm rot="5400000">
                      <a:off x="0" y="0"/>
                      <a:ext cx="9235440" cy="646669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sectPr w:rsidR="00410EBB" w:rsidSect="0010774B">
      <w:pgSz w:w="12240" w:h="15840"/>
      <w:pgMar w:top="99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B95" w:rsidRDefault="000E3B95" w:rsidP="00387178">
      <w:r>
        <w:separator/>
      </w:r>
    </w:p>
  </w:endnote>
  <w:endnote w:type="continuationSeparator" w:id="0">
    <w:p w:rsidR="000E3B95" w:rsidRDefault="000E3B95" w:rsidP="00387178">
      <w:r>
        <w:continuationSeparator/>
      </w:r>
    </w:p>
  </w:endnote>
  <w:endnote w:id="1">
    <w:p w:rsidR="00E240E1" w:rsidRDefault="00E240E1">
      <w:pPr>
        <w:pStyle w:val="EndnoteText"/>
      </w:pPr>
      <w:r>
        <w:rPr>
          <w:rStyle w:val="EndnoteReference"/>
        </w:rPr>
        <w:endnoteRef/>
      </w:r>
      <w:r>
        <w:t xml:space="preserve"> </w:t>
      </w:r>
      <w:r w:rsidRPr="00E240E1">
        <w:rPr>
          <w:rFonts w:ascii="Garamond" w:hAnsi="Garamond" w:cs="Calibri"/>
        </w:rPr>
        <w:t>A 17-physician private medical practice</w:t>
      </w:r>
      <w:r w:rsidR="00136187">
        <w:rPr>
          <w:rFonts w:ascii="Garamond" w:hAnsi="Garamond" w:cs="Calibri"/>
        </w:rPr>
        <w:t xml:space="preserve"> connected with NEHS and located on the Beverly Hospital campus.</w:t>
      </w:r>
    </w:p>
  </w:endnote>
  <w:endnote w:id="2">
    <w:p w:rsidR="003F0940" w:rsidRPr="00F05C85" w:rsidRDefault="003F0940" w:rsidP="003F0940">
      <w:pPr>
        <w:pStyle w:val="EndnoteText"/>
      </w:pPr>
      <w:r w:rsidRPr="00F05C85">
        <w:rPr>
          <w:rStyle w:val="EndnoteReference"/>
        </w:rPr>
        <w:endnoteRef/>
      </w:r>
      <w:r w:rsidRPr="00F05C85">
        <w:t xml:space="preserve"> </w:t>
      </w:r>
      <w:r w:rsidRPr="00F05C85">
        <w:rPr>
          <w:rFonts w:ascii="Garamond" w:hAnsi="Garamond"/>
        </w:rPr>
        <w:t>Fidelity to protocols required within the CDSMP, Options, and Caregiver programs is monitored using established tools and reporting mechanisms and is the responsibility of the respective program directors.</w:t>
      </w:r>
    </w:p>
  </w:endnote>
  <w:endnote w:id="3">
    <w:p w:rsidR="00E240E1" w:rsidRPr="00F05C85" w:rsidRDefault="00E240E1" w:rsidP="00E240E1">
      <w:pPr>
        <w:pStyle w:val="ListParagraph"/>
        <w:spacing w:after="0" w:line="240" w:lineRule="auto"/>
        <w:ind w:left="0"/>
        <w:rPr>
          <w:rFonts w:ascii="Garamond" w:hAnsi="Garamond"/>
          <w:sz w:val="20"/>
          <w:szCs w:val="20"/>
        </w:rPr>
      </w:pPr>
      <w:r w:rsidRPr="00F05C85">
        <w:rPr>
          <w:rStyle w:val="EndnoteReference"/>
          <w:sz w:val="20"/>
          <w:szCs w:val="20"/>
        </w:rPr>
        <w:endnoteRef/>
      </w:r>
      <w:r w:rsidRPr="00F05C85">
        <w:rPr>
          <w:rFonts w:ascii="Garamond" w:eastAsia="Times New Roman" w:hAnsi="Garamond" w:cs="Calibri"/>
          <w:sz w:val="20"/>
          <w:szCs w:val="20"/>
        </w:rPr>
        <w:t xml:space="preserve"> </w:t>
      </w:r>
      <w:r w:rsidRPr="00F05C85">
        <w:rPr>
          <w:rFonts w:ascii="Garamond" w:hAnsi="Garamond"/>
          <w:sz w:val="20"/>
          <w:szCs w:val="20"/>
        </w:rPr>
        <w:t>ADRCGNS staff brings significant experience in survey and focus group design, implementation and analysis</w:t>
      </w:r>
      <w:r w:rsidRPr="00F05C85">
        <w:rPr>
          <w:rFonts w:ascii="Garamond" w:eastAsia="Times New Roman" w:hAnsi="Garamond" w:cs="Calibri"/>
          <w:sz w:val="20"/>
          <w:szCs w:val="20"/>
        </w:rPr>
        <w:t xml:space="preserve"> In fact, the ADRCGNS evaluation staff has recently pioneered an image-driven focus group technique which reduces facilitator bias and diminishes the complications of constituitive meanings that often undermines this important research tool.  Staff were invited to present their work on image-driven focus groups at the GSA Scientific Conference in Atlanta this past fall and the ASA/NCOA Conference in Chicago last March.  This technique will be effectively integrated within our broader qualitative framework to assist in clarifying participant perceptions and decision-making.</w:t>
      </w:r>
    </w:p>
    <w:p w:rsidR="00E240E1" w:rsidRDefault="00E240E1" w:rsidP="00E240E1">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B95" w:rsidRDefault="000E3B95" w:rsidP="00387178">
      <w:r>
        <w:separator/>
      </w:r>
    </w:p>
  </w:footnote>
  <w:footnote w:type="continuationSeparator" w:id="0">
    <w:p w:rsidR="000E3B95" w:rsidRDefault="000E3B95" w:rsidP="00387178">
      <w:r>
        <w:continuationSeparator/>
      </w:r>
    </w:p>
  </w:footnote>
  <w:footnote w:id="1">
    <w:p w:rsidR="006960BB" w:rsidRDefault="006960BB">
      <w:pPr>
        <w:pStyle w:val="FootnoteText"/>
      </w:pPr>
      <w:r>
        <w:rPr>
          <w:rStyle w:val="FootnoteReference"/>
        </w:rPr>
        <w:footnoteRef/>
      </w:r>
      <w:r>
        <w:t xml:space="preserve"> For more information on NACS, please contact:  Valerie Parker Callahan, Evaluation Coordinator, </w:t>
      </w:r>
      <w:hyperlink r:id="rId1" w:history="1">
        <w:r w:rsidRPr="00B80882">
          <w:rPr>
            <w:rStyle w:val="Hyperlink"/>
          </w:rPr>
          <w:t>vparkercallahan@glss.net</w:t>
        </w:r>
      </w:hyperlink>
      <w:r>
        <w:t xml:space="preserve"> ; 781-586-8612 or Cheryl Krisko, Project Director, </w:t>
      </w:r>
      <w:hyperlink r:id="rId2" w:history="1">
        <w:r w:rsidRPr="00B80882">
          <w:rPr>
            <w:rStyle w:val="Hyperlink"/>
          </w:rPr>
          <w:t>ckrisko@nselder.org</w:t>
        </w:r>
      </w:hyperlink>
      <w:r>
        <w:t xml:space="preserve">; </w:t>
      </w:r>
      <w:r w:rsidRPr="006960BB">
        <w:t>978-750-4540</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E1A"/>
    <w:multiLevelType w:val="hybridMultilevel"/>
    <w:tmpl w:val="0AC2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67804"/>
    <w:multiLevelType w:val="hybridMultilevel"/>
    <w:tmpl w:val="69009EE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897323"/>
    <w:multiLevelType w:val="hybridMultilevel"/>
    <w:tmpl w:val="5DCA641A"/>
    <w:lvl w:ilvl="0" w:tplc="0409000F">
      <w:start w:val="1"/>
      <w:numFmt w:val="decimal"/>
      <w:lvlText w:val="%1."/>
      <w:lvlJc w:val="left"/>
      <w:pPr>
        <w:ind w:left="-72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7AB65BB1"/>
    <w:multiLevelType w:val="hybridMultilevel"/>
    <w:tmpl w:val="619C0F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7178"/>
    <w:rsid w:val="00081B07"/>
    <w:rsid w:val="00090D8A"/>
    <w:rsid w:val="000E3B95"/>
    <w:rsid w:val="0010774B"/>
    <w:rsid w:val="00136187"/>
    <w:rsid w:val="0028489C"/>
    <w:rsid w:val="00387178"/>
    <w:rsid w:val="003B71FA"/>
    <w:rsid w:val="003E5CED"/>
    <w:rsid w:val="003F0940"/>
    <w:rsid w:val="00401768"/>
    <w:rsid w:val="00410EBB"/>
    <w:rsid w:val="0050754A"/>
    <w:rsid w:val="00596FD8"/>
    <w:rsid w:val="005A4357"/>
    <w:rsid w:val="0062473B"/>
    <w:rsid w:val="006960BB"/>
    <w:rsid w:val="006D17EA"/>
    <w:rsid w:val="007B16FE"/>
    <w:rsid w:val="007E0EFE"/>
    <w:rsid w:val="00947988"/>
    <w:rsid w:val="00DF19A6"/>
    <w:rsid w:val="00E240E1"/>
    <w:rsid w:val="00F02439"/>
    <w:rsid w:val="00F70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7178"/>
    <w:rPr>
      <w:color w:val="0000FF"/>
      <w:u w:val="single"/>
    </w:rPr>
  </w:style>
  <w:style w:type="paragraph" w:styleId="EndnoteText">
    <w:name w:val="endnote text"/>
    <w:basedOn w:val="Normal"/>
    <w:link w:val="EndnoteTextChar"/>
    <w:rsid w:val="00387178"/>
    <w:rPr>
      <w:sz w:val="20"/>
      <w:szCs w:val="20"/>
    </w:rPr>
  </w:style>
  <w:style w:type="character" w:customStyle="1" w:styleId="EndnoteTextChar">
    <w:name w:val="Endnote Text Char"/>
    <w:basedOn w:val="DefaultParagraphFont"/>
    <w:link w:val="EndnoteText"/>
    <w:rsid w:val="00387178"/>
    <w:rPr>
      <w:rFonts w:ascii="Times New Roman" w:eastAsia="Times New Roman" w:hAnsi="Times New Roman" w:cs="Times New Roman"/>
      <w:sz w:val="20"/>
      <w:szCs w:val="20"/>
    </w:rPr>
  </w:style>
  <w:style w:type="character" w:styleId="EndnoteReference">
    <w:name w:val="endnote reference"/>
    <w:basedOn w:val="DefaultParagraphFont"/>
    <w:rsid w:val="00387178"/>
    <w:rPr>
      <w:vertAlign w:val="superscript"/>
    </w:rPr>
  </w:style>
  <w:style w:type="paragraph" w:styleId="ListParagraph">
    <w:name w:val="List Paragraph"/>
    <w:basedOn w:val="Normal"/>
    <w:uiPriority w:val="34"/>
    <w:qFormat/>
    <w:rsid w:val="0038717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81B07"/>
    <w:rPr>
      <w:rFonts w:ascii="Tahoma" w:hAnsi="Tahoma" w:cs="Tahoma"/>
      <w:sz w:val="16"/>
      <w:szCs w:val="16"/>
    </w:rPr>
  </w:style>
  <w:style w:type="character" w:customStyle="1" w:styleId="BalloonTextChar">
    <w:name w:val="Balloon Text Char"/>
    <w:basedOn w:val="DefaultParagraphFont"/>
    <w:link w:val="BalloonText"/>
    <w:uiPriority w:val="99"/>
    <w:semiHidden/>
    <w:rsid w:val="00081B0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960BB"/>
    <w:rPr>
      <w:sz w:val="20"/>
      <w:szCs w:val="20"/>
    </w:rPr>
  </w:style>
  <w:style w:type="character" w:customStyle="1" w:styleId="FootnoteTextChar">
    <w:name w:val="Footnote Text Char"/>
    <w:basedOn w:val="DefaultParagraphFont"/>
    <w:link w:val="FootnoteText"/>
    <w:uiPriority w:val="99"/>
    <w:semiHidden/>
    <w:rsid w:val="006960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60BB"/>
    <w:rPr>
      <w:vertAlign w:val="superscript"/>
    </w:rPr>
  </w:style>
  <w:style w:type="character" w:customStyle="1" w:styleId="h4ptsize1">
    <w:name w:val="h4_pt_size1"/>
    <w:basedOn w:val="DefaultParagraphFont"/>
    <w:rsid w:val="006960BB"/>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7178"/>
    <w:rPr>
      <w:color w:val="0000FF"/>
      <w:u w:val="single"/>
    </w:rPr>
  </w:style>
  <w:style w:type="paragraph" w:styleId="EndnoteText">
    <w:name w:val="endnote text"/>
    <w:basedOn w:val="Normal"/>
    <w:link w:val="EndnoteTextChar"/>
    <w:rsid w:val="00387178"/>
    <w:rPr>
      <w:sz w:val="20"/>
      <w:szCs w:val="20"/>
    </w:rPr>
  </w:style>
  <w:style w:type="character" w:customStyle="1" w:styleId="EndnoteTextChar">
    <w:name w:val="Endnote Text Char"/>
    <w:basedOn w:val="DefaultParagraphFont"/>
    <w:link w:val="EndnoteText"/>
    <w:rsid w:val="00387178"/>
    <w:rPr>
      <w:rFonts w:ascii="Times New Roman" w:eastAsia="Times New Roman" w:hAnsi="Times New Roman" w:cs="Times New Roman"/>
      <w:sz w:val="20"/>
      <w:szCs w:val="20"/>
    </w:rPr>
  </w:style>
  <w:style w:type="character" w:styleId="EndnoteReference">
    <w:name w:val="endnote reference"/>
    <w:basedOn w:val="DefaultParagraphFont"/>
    <w:rsid w:val="00387178"/>
    <w:rPr>
      <w:vertAlign w:val="superscript"/>
    </w:rPr>
  </w:style>
  <w:style w:type="paragraph" w:styleId="ListParagraph">
    <w:name w:val="List Paragraph"/>
    <w:basedOn w:val="Normal"/>
    <w:uiPriority w:val="34"/>
    <w:qFormat/>
    <w:rsid w:val="0038717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81B07"/>
    <w:rPr>
      <w:rFonts w:ascii="Tahoma" w:hAnsi="Tahoma" w:cs="Tahoma"/>
      <w:sz w:val="16"/>
      <w:szCs w:val="16"/>
    </w:rPr>
  </w:style>
  <w:style w:type="character" w:customStyle="1" w:styleId="BalloonTextChar">
    <w:name w:val="Balloon Text Char"/>
    <w:basedOn w:val="DefaultParagraphFont"/>
    <w:link w:val="BalloonText"/>
    <w:uiPriority w:val="99"/>
    <w:semiHidden/>
    <w:rsid w:val="00081B0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960BB"/>
    <w:rPr>
      <w:sz w:val="20"/>
      <w:szCs w:val="20"/>
    </w:rPr>
  </w:style>
  <w:style w:type="character" w:customStyle="1" w:styleId="FootnoteTextChar">
    <w:name w:val="Footnote Text Char"/>
    <w:basedOn w:val="DefaultParagraphFont"/>
    <w:link w:val="FootnoteText"/>
    <w:uiPriority w:val="99"/>
    <w:semiHidden/>
    <w:rsid w:val="006960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60BB"/>
    <w:rPr>
      <w:vertAlign w:val="superscript"/>
    </w:rPr>
  </w:style>
  <w:style w:type="character" w:customStyle="1" w:styleId="h4ptsize1">
    <w:name w:val="h4_pt_size1"/>
    <w:basedOn w:val="DefaultParagraphFont"/>
    <w:rsid w:val="006960BB"/>
    <w:rPr>
      <w:b/>
      <w:bCs/>
      <w:sz w:val="23"/>
      <w:szCs w:val="2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mailto:ckrisko@nselder.org" TargetMode="External"/><Relationship Id="rId1" Type="http://schemas.openxmlformats.org/officeDocument/2006/relationships/hyperlink" Target="mailto:vparkercallahan@gl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092E-D288-4111-B0F7-9B4F5D6B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dc:creator>
  <cp:lastModifiedBy>Amy</cp:lastModifiedBy>
  <cp:revision>2</cp:revision>
  <cp:lastPrinted>2011-02-01T22:14:00Z</cp:lastPrinted>
  <dcterms:created xsi:type="dcterms:W3CDTF">2011-02-02T18:18:00Z</dcterms:created>
  <dcterms:modified xsi:type="dcterms:W3CDTF">2011-02-02T18:18:00Z</dcterms:modified>
</cp:coreProperties>
</file>